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9943DA">
        <w:rPr>
          <w:sz w:val="28"/>
          <w:szCs w:val="28"/>
        </w:rPr>
        <w:t>161</w:t>
      </w:r>
      <w:r>
        <w:rPr>
          <w:sz w:val="28"/>
          <w:szCs w:val="28"/>
        </w:rPr>
        <w:t xml:space="preserve"> от </w:t>
      </w:r>
      <w:r w:rsidR="009943D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C4FD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631B48">
        <w:rPr>
          <w:sz w:val="28"/>
          <w:szCs w:val="28"/>
        </w:rPr>
        <w:t>18</w:t>
      </w:r>
      <w:r w:rsidRPr="000A1607"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EE7278">
        <w:rPr>
          <w:sz w:val="28"/>
          <w:szCs w:val="28"/>
        </w:rPr>
        <w:t>1</w:t>
      </w:r>
      <w:r w:rsidR="009943DA">
        <w:rPr>
          <w:sz w:val="28"/>
          <w:szCs w:val="28"/>
        </w:rPr>
        <w:t>5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9E6ED4">
        <w:rPr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  <w:r w:rsidR="009943DA">
        <w:rPr>
          <w:sz w:val="28"/>
          <w:szCs w:val="28"/>
        </w:rPr>
        <w:t>3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</w:t>
      </w:r>
      <w:r w:rsidR="009C4C83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</w:t>
      </w:r>
      <w:r w:rsidR="009943DA">
        <w:rPr>
          <w:sz w:val="28"/>
          <w:szCs w:val="28"/>
        </w:rPr>
        <w:t>Салтынского</w:t>
      </w:r>
      <w:r>
        <w:rPr>
          <w:sz w:val="28"/>
          <w:szCs w:val="28"/>
        </w:rPr>
        <w:t xml:space="preserve"> сельского поселения </w:t>
      </w:r>
      <w:r w:rsidR="0023753B">
        <w:rPr>
          <w:sz w:val="28"/>
          <w:szCs w:val="28"/>
        </w:rPr>
        <w:t xml:space="preserve">Урюпинского района, </w:t>
      </w:r>
      <w:r>
        <w:rPr>
          <w:sz w:val="28"/>
          <w:szCs w:val="28"/>
        </w:rPr>
        <w:t xml:space="preserve">Волгоградской области, земельный участок площадью </w:t>
      </w:r>
      <w:r w:rsidR="009943DA">
        <w:rPr>
          <w:sz w:val="28"/>
          <w:szCs w:val="28"/>
        </w:rPr>
        <w:t>966000</w:t>
      </w:r>
      <w:r>
        <w:rPr>
          <w:sz w:val="28"/>
          <w:szCs w:val="28"/>
        </w:rPr>
        <w:t xml:space="preserve"> кв. м с кадастровым номером 34:31:</w:t>
      </w:r>
      <w:r w:rsidR="009943DA">
        <w:rPr>
          <w:sz w:val="28"/>
          <w:szCs w:val="28"/>
        </w:rPr>
        <w:t>220012</w:t>
      </w:r>
      <w:r>
        <w:rPr>
          <w:sz w:val="28"/>
          <w:szCs w:val="28"/>
        </w:rPr>
        <w:t>:</w:t>
      </w:r>
      <w:r w:rsidR="009943DA">
        <w:rPr>
          <w:sz w:val="28"/>
          <w:szCs w:val="28"/>
        </w:rPr>
        <w:t>446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9943DA">
        <w:rPr>
          <w:sz w:val="28"/>
          <w:szCs w:val="28"/>
        </w:rPr>
        <w:t>для производства сельскохозяйственной продукции; для сельскохозяйственного производства</w:t>
      </w:r>
      <w:r w:rsidR="00B320E3">
        <w:rPr>
          <w:sz w:val="28"/>
          <w:szCs w:val="28"/>
        </w:rPr>
        <w:t>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9943DA">
        <w:rPr>
          <w:sz w:val="28"/>
          <w:szCs w:val="28"/>
        </w:rPr>
        <w:t>182490</w:t>
      </w:r>
      <w:r>
        <w:rPr>
          <w:sz w:val="28"/>
          <w:szCs w:val="28"/>
        </w:rPr>
        <w:t xml:space="preserve"> (</w:t>
      </w:r>
      <w:r w:rsidR="009943DA">
        <w:rPr>
          <w:sz w:val="28"/>
          <w:szCs w:val="28"/>
        </w:rPr>
        <w:t xml:space="preserve">сто восемьдесят две тысячи четыреста девяносто 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9943DA">
        <w:rPr>
          <w:sz w:val="28"/>
          <w:szCs w:val="28"/>
        </w:rPr>
        <w:t>5474</w:t>
      </w:r>
      <w:r>
        <w:rPr>
          <w:sz w:val="28"/>
          <w:szCs w:val="28"/>
        </w:rPr>
        <w:t xml:space="preserve"> (</w:t>
      </w:r>
      <w:r w:rsidR="00FC704F">
        <w:rPr>
          <w:sz w:val="28"/>
          <w:szCs w:val="28"/>
        </w:rPr>
        <w:t>пять тысяч четыреста семьдесят четыре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43DA">
        <w:rPr>
          <w:sz w:val="28"/>
          <w:szCs w:val="28"/>
        </w:rPr>
        <w:t>70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FC704F">
        <w:rPr>
          <w:sz w:val="28"/>
          <w:szCs w:val="28"/>
        </w:rPr>
        <w:t xml:space="preserve"> 36498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C704F">
        <w:rPr>
          <w:sz w:val="28"/>
          <w:szCs w:val="28"/>
        </w:rPr>
        <w:t>тридцать шесть тысяч четыреста девяносто восемь</w:t>
      </w:r>
      <w:r>
        <w:rPr>
          <w:sz w:val="28"/>
          <w:szCs w:val="28"/>
        </w:rPr>
        <w:t xml:space="preserve">) руб. </w:t>
      </w:r>
      <w:r w:rsidR="00FC704F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AB1E42">
        <w:rPr>
          <w:b/>
          <w:sz w:val="28"/>
          <w:szCs w:val="28"/>
        </w:rPr>
        <w:t>14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4</w:t>
      </w:r>
      <w:r w:rsidR="00AB1E42" w:rsidRPr="00453285">
        <w:rPr>
          <w:b/>
          <w:sz w:val="28"/>
          <w:szCs w:val="28"/>
        </w:rPr>
        <w:t xml:space="preserve">.2021 по </w:t>
      </w:r>
      <w:r w:rsidR="00AB1E42">
        <w:rPr>
          <w:b/>
          <w:sz w:val="28"/>
          <w:szCs w:val="28"/>
        </w:rPr>
        <w:t>13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5</w:t>
      </w:r>
      <w:r w:rsidR="00AB1E42" w:rsidRPr="00453285">
        <w:rPr>
          <w:b/>
          <w:sz w:val="28"/>
          <w:szCs w:val="28"/>
        </w:rPr>
        <w:t xml:space="preserve">.2021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33A8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CC0A92">
        <w:rPr>
          <w:b/>
          <w:bCs/>
          <w:sz w:val="28"/>
          <w:szCs w:val="28"/>
        </w:rPr>
        <w:t>14</w:t>
      </w:r>
      <w:r w:rsidRPr="004F7120">
        <w:rPr>
          <w:b/>
          <w:bCs/>
          <w:sz w:val="28"/>
          <w:szCs w:val="28"/>
        </w:rPr>
        <w:t>.</w:t>
      </w:r>
      <w:r w:rsidR="00CC0A92">
        <w:rPr>
          <w:b/>
          <w:bCs/>
          <w:sz w:val="28"/>
          <w:szCs w:val="28"/>
        </w:rPr>
        <w:t>04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C0A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9C6FA0">
        <w:rPr>
          <w:b/>
          <w:bCs/>
          <w:sz w:val="28"/>
          <w:szCs w:val="28"/>
        </w:rPr>
        <w:t>1</w:t>
      </w:r>
      <w:r w:rsidR="00A87B0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CC0A9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</w:t>
      </w:r>
      <w:r w:rsidRPr="00D648A2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A87B01">
        <w:rPr>
          <w:b/>
          <w:bCs/>
          <w:sz w:val="28"/>
          <w:szCs w:val="28"/>
        </w:rPr>
        <w:t>17</w:t>
      </w:r>
      <w:r w:rsidRPr="000A1607">
        <w:rPr>
          <w:b/>
          <w:bCs/>
          <w:sz w:val="28"/>
          <w:szCs w:val="28"/>
        </w:rPr>
        <w:t>.0</w:t>
      </w:r>
      <w:r w:rsidR="00314F92">
        <w:rPr>
          <w:b/>
          <w:bCs/>
          <w:sz w:val="28"/>
          <w:szCs w:val="28"/>
        </w:rPr>
        <w:t>5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</w:t>
      </w:r>
      <w:r w:rsidR="00FC704F">
        <w:rPr>
          <w:b/>
          <w:bCs/>
          <w:sz w:val="28"/>
          <w:szCs w:val="28"/>
        </w:rPr>
        <w:t xml:space="preserve">14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</w:t>
      </w:r>
      <w:r w:rsidRPr="00AC4143">
        <w:lastRenderedPageBreak/>
        <w:t>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A02EBB" w:rsidRPr="00312155" w:rsidRDefault="00A02EBB" w:rsidP="00A02EBB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</w:t>
      </w:r>
      <w:r w:rsidRPr="00AC4143">
        <w:lastRenderedPageBreak/>
        <w:t>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 xml:space="preserve"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</w:t>
      </w:r>
      <w:r w:rsidRPr="00AC4143">
        <w:lastRenderedPageBreak/>
        <w:t>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54670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1C8B"/>
    <w:rsid w:val="001047C5"/>
    <w:rsid w:val="00107B92"/>
    <w:rsid w:val="00117C6D"/>
    <w:rsid w:val="00117D49"/>
    <w:rsid w:val="001218B5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3CE3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C12C4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1B48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43C12"/>
    <w:rsid w:val="00844059"/>
    <w:rsid w:val="00845E6B"/>
    <w:rsid w:val="008463DD"/>
    <w:rsid w:val="00856B0C"/>
    <w:rsid w:val="00867825"/>
    <w:rsid w:val="00875F86"/>
    <w:rsid w:val="0089101A"/>
    <w:rsid w:val="00894B1A"/>
    <w:rsid w:val="008A1DC0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0FB5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943DA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4C83"/>
    <w:rsid w:val="009C4FD8"/>
    <w:rsid w:val="009C6FA0"/>
    <w:rsid w:val="009D5C7D"/>
    <w:rsid w:val="009D5FBE"/>
    <w:rsid w:val="009D76B1"/>
    <w:rsid w:val="009E6ED4"/>
    <w:rsid w:val="009F087A"/>
    <w:rsid w:val="00A02EBB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87B01"/>
    <w:rsid w:val="00A94C57"/>
    <w:rsid w:val="00AA72C2"/>
    <w:rsid w:val="00AB1E42"/>
    <w:rsid w:val="00AB3655"/>
    <w:rsid w:val="00AC4143"/>
    <w:rsid w:val="00AC4BC7"/>
    <w:rsid w:val="00AC712F"/>
    <w:rsid w:val="00AD1999"/>
    <w:rsid w:val="00AE7D61"/>
    <w:rsid w:val="00AF4E7E"/>
    <w:rsid w:val="00AF7C78"/>
    <w:rsid w:val="00B0103D"/>
    <w:rsid w:val="00B23335"/>
    <w:rsid w:val="00B312F3"/>
    <w:rsid w:val="00B320E3"/>
    <w:rsid w:val="00B36C0C"/>
    <w:rsid w:val="00B41773"/>
    <w:rsid w:val="00B417E6"/>
    <w:rsid w:val="00B42426"/>
    <w:rsid w:val="00B42A6A"/>
    <w:rsid w:val="00B44B2F"/>
    <w:rsid w:val="00B54041"/>
    <w:rsid w:val="00B71561"/>
    <w:rsid w:val="00B728C0"/>
    <w:rsid w:val="00B74BBD"/>
    <w:rsid w:val="00B81105"/>
    <w:rsid w:val="00B833A8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C0A92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1B09"/>
    <w:rsid w:val="00DB78F9"/>
    <w:rsid w:val="00DC1FF2"/>
    <w:rsid w:val="00DC44A5"/>
    <w:rsid w:val="00DC5739"/>
    <w:rsid w:val="00DD227A"/>
    <w:rsid w:val="00DD2935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B2436"/>
    <w:rsid w:val="00EC1886"/>
    <w:rsid w:val="00ED186F"/>
    <w:rsid w:val="00ED5D21"/>
    <w:rsid w:val="00ED6998"/>
    <w:rsid w:val="00EE7278"/>
    <w:rsid w:val="00EF1157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B391E"/>
    <w:rsid w:val="00FC704F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2700</Words>
  <Characters>21156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8</cp:revision>
  <cp:lastPrinted>2021-04-12T08:31:00Z</cp:lastPrinted>
  <dcterms:created xsi:type="dcterms:W3CDTF">2021-04-12T09:39:00Z</dcterms:created>
  <dcterms:modified xsi:type="dcterms:W3CDTF">2021-04-14T10:53:00Z</dcterms:modified>
</cp:coreProperties>
</file>