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Default="00393F2B" w:rsidP="00393F2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-162560</wp:posOffset>
            </wp:positionV>
            <wp:extent cx="527050" cy="812165"/>
            <wp:effectExtent l="19050" t="0" r="6350" b="0"/>
            <wp:wrapSquare wrapText="left"/>
            <wp:docPr id="6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F2B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F2B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F2B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F2B" w:rsidRPr="009B38D4" w:rsidRDefault="00393F2B" w:rsidP="00393F2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93F2B" w:rsidRPr="009B38D4" w:rsidRDefault="00393F2B" w:rsidP="00393F2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93F2B" w:rsidRPr="009B38D4" w:rsidRDefault="00393F2B" w:rsidP="00393F2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93F2B" w:rsidRPr="009B38D4" w:rsidRDefault="00393F2B" w:rsidP="00393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93F2B" w:rsidRPr="009B38D4" w:rsidRDefault="00393F2B" w:rsidP="003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BB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1e-4mm;mso-wrap-distance-bottom:-1e-4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 w:rsidRPr="006D6ABB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1e-4mm;mso-wrap-distance-bottom:-1e-4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</w:pict>
      </w:r>
    </w:p>
    <w:p w:rsidR="00393F2B" w:rsidRPr="009B38D4" w:rsidRDefault="00393F2B" w:rsidP="00393F2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93F2B" w:rsidRPr="009B38D4" w:rsidRDefault="00393F2B" w:rsidP="00393F2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93F2B" w:rsidRPr="009B38D4" w:rsidRDefault="00393F2B" w:rsidP="00393F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F2B" w:rsidRDefault="00393F2B" w:rsidP="0039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C4C">
        <w:rPr>
          <w:rFonts w:ascii="Times New Roman" w:hAnsi="Times New Roman" w:cs="Times New Roman"/>
          <w:b/>
          <w:bCs/>
          <w:sz w:val="28"/>
          <w:szCs w:val="28"/>
        </w:rPr>
        <w:t xml:space="preserve">14 декабря 2023 года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C4C">
        <w:rPr>
          <w:rFonts w:ascii="Times New Roman" w:hAnsi="Times New Roman" w:cs="Times New Roman"/>
          <w:b/>
          <w:bCs/>
          <w:sz w:val="28"/>
          <w:szCs w:val="28"/>
        </w:rPr>
        <w:t>№ 39/</w:t>
      </w:r>
      <w:r>
        <w:rPr>
          <w:rFonts w:ascii="Times New Roman" w:hAnsi="Times New Roman" w:cs="Times New Roman"/>
          <w:b/>
          <w:bCs/>
          <w:sz w:val="28"/>
          <w:szCs w:val="28"/>
        </w:rPr>
        <w:t>592</w:t>
      </w:r>
    </w:p>
    <w:p w:rsidR="00393F2B" w:rsidRDefault="00393F2B" w:rsidP="0039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2B" w:rsidRPr="004A0907" w:rsidRDefault="00393F2B" w:rsidP="003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07">
        <w:rPr>
          <w:rFonts w:ascii="Times New Roman" w:hAnsi="Times New Roman" w:cs="Times New Roman"/>
          <w:b/>
          <w:sz w:val="28"/>
          <w:szCs w:val="28"/>
        </w:rPr>
        <w:t>О внесении изменения в 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бюджетов», утвержденный решением</w:t>
      </w:r>
    </w:p>
    <w:p w:rsidR="00393F2B" w:rsidRPr="004A0907" w:rsidRDefault="00393F2B" w:rsidP="00393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07">
        <w:rPr>
          <w:rFonts w:ascii="Times New Roman" w:hAnsi="Times New Roman" w:cs="Times New Roman"/>
          <w:b/>
          <w:sz w:val="28"/>
          <w:szCs w:val="28"/>
        </w:rPr>
        <w:t>Урюпинской районной Думы от 02 декабря 2019 года № 3/18</w:t>
      </w:r>
    </w:p>
    <w:p w:rsidR="00393F2B" w:rsidRPr="005C384D" w:rsidRDefault="00393F2B" w:rsidP="00393F2B">
      <w:pPr>
        <w:spacing w:after="0"/>
        <w:jc w:val="center"/>
        <w:rPr>
          <w:sz w:val="28"/>
          <w:szCs w:val="28"/>
        </w:rPr>
      </w:pPr>
    </w:p>
    <w:p w:rsidR="00393F2B" w:rsidRDefault="00393F2B" w:rsidP="00393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91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A1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5A16">
        <w:rPr>
          <w:rFonts w:ascii="Times New Roman" w:hAnsi="Times New Roman" w:cs="Times New Roman"/>
          <w:sz w:val="28"/>
          <w:szCs w:val="28"/>
        </w:rPr>
        <w:t xml:space="preserve"> в </w:t>
      </w:r>
      <w:r w:rsidRPr="0038738D">
        <w:rPr>
          <w:rFonts w:ascii="Times New Roman" w:hAnsi="Times New Roman" w:cs="Times New Roman"/>
          <w:sz w:val="28"/>
          <w:szCs w:val="28"/>
        </w:rPr>
        <w:t>Порядок</w:t>
      </w:r>
      <w:r w:rsidRPr="0038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38D">
        <w:rPr>
          <w:rFonts w:ascii="Times New Roman" w:hAnsi="Times New Roman" w:cs="Times New Roman"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</w:t>
      </w:r>
      <w:r w:rsidRPr="004A0907">
        <w:rPr>
          <w:rFonts w:ascii="Times New Roman" w:hAnsi="Times New Roman" w:cs="Times New Roman"/>
          <w:sz w:val="28"/>
          <w:szCs w:val="28"/>
        </w:rPr>
        <w:t>субсидии на обеспечение сбалансированности местных бюджетов», утвержденный решением Урюпинской районной Думы от 02 декабря 2019 года № 3</w:t>
      </w:r>
      <w:proofErr w:type="gramEnd"/>
      <w:r w:rsidRPr="004A090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A0907">
        <w:rPr>
          <w:rFonts w:ascii="Times New Roman" w:hAnsi="Times New Roman" w:cs="Times New Roman"/>
          <w:sz w:val="28"/>
          <w:szCs w:val="28"/>
        </w:rPr>
        <w:t xml:space="preserve">18 (в редакции решений Урюпинской районной Думы от 11 декабря 2020 года № 162, от 23 декабря 2020 года № 166, от 24 декабря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907">
        <w:rPr>
          <w:rFonts w:ascii="Times New Roman" w:hAnsi="Times New Roman" w:cs="Times New Roman"/>
          <w:sz w:val="28"/>
          <w:szCs w:val="28"/>
        </w:rPr>
        <w:t>№ 285), на основании статей 9, 142.4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FB0B42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93F2B" w:rsidRDefault="00393F2B" w:rsidP="0039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4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32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25A16">
        <w:rPr>
          <w:rFonts w:ascii="Times New Roman" w:hAnsi="Times New Roman" w:cs="Times New Roman"/>
          <w:sz w:val="28"/>
          <w:szCs w:val="28"/>
        </w:rPr>
        <w:t xml:space="preserve">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</w:t>
      </w:r>
      <w:r w:rsidRPr="00D3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8.1. следующего содержания:</w:t>
      </w:r>
    </w:p>
    <w:p w:rsidR="00393F2B" w:rsidRDefault="00393F2B" w:rsidP="00393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«8.1. Установить, что отклонение </w:t>
      </w:r>
      <w:r w:rsidRPr="00325A1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A16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конкретному поселению на решение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настоящим Порядком, предоставляемого в текущем финансовом году не может быть более (менее) 10% от объема такого межбюджетного трансферта, предоставленного бюджету </w:t>
      </w:r>
      <w:r w:rsidRPr="00325A16">
        <w:rPr>
          <w:rFonts w:ascii="Times New Roman" w:hAnsi="Times New Roman" w:cs="Times New Roman"/>
          <w:sz w:val="28"/>
          <w:szCs w:val="28"/>
        </w:rPr>
        <w:t>конкретно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5A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в предыдущем финансовом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3F2B" w:rsidRDefault="00393F2B" w:rsidP="0039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167">
        <w:rPr>
          <w:rFonts w:ascii="Times New Roman" w:hAnsi="Times New Roman" w:cs="Times New Roman"/>
          <w:b/>
          <w:sz w:val="28"/>
          <w:szCs w:val="28"/>
        </w:rPr>
        <w:t>.</w:t>
      </w:r>
      <w:r w:rsidRPr="00D341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бюллетене администрации Урюпинского муниципального района «Районные ведомости», но не ранее 01 января </w:t>
      </w:r>
      <w:r w:rsidRPr="00D373F3">
        <w:rPr>
          <w:rFonts w:ascii="Times New Roman" w:hAnsi="Times New Roman" w:cs="Times New Roman"/>
          <w:sz w:val="28"/>
          <w:szCs w:val="28"/>
        </w:rPr>
        <w:t>2024 года.</w:t>
      </w:r>
    </w:p>
    <w:p w:rsidR="00393F2B" w:rsidRDefault="00393F2B" w:rsidP="0039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5A3D">
        <w:rPr>
          <w:rFonts w:ascii="Times New Roman" w:hAnsi="Times New Roman" w:cs="Times New Roman"/>
          <w:b/>
          <w:sz w:val="28"/>
          <w:szCs w:val="28"/>
        </w:rPr>
        <w:t>.</w:t>
      </w:r>
      <w:r w:rsidRPr="00235A3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Pr="00235A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5A3D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О.А. Андрееву</w:t>
      </w:r>
      <w:r w:rsidRPr="00235A3D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393F2B" w:rsidRPr="000C5F11" w:rsidRDefault="00393F2B" w:rsidP="0039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F2B" w:rsidRPr="002F7EB8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Заместитель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7EB8">
        <w:rPr>
          <w:rFonts w:ascii="Times New Roman" w:hAnsi="Times New Roman" w:cs="Times New Roman"/>
          <w:b/>
          <w:sz w:val="28"/>
          <w:szCs w:val="28"/>
        </w:rPr>
        <w:t>редседа</w:t>
      </w:r>
      <w:r>
        <w:rPr>
          <w:rFonts w:ascii="Times New Roman" w:hAnsi="Times New Roman" w:cs="Times New Roman"/>
          <w:b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Исполняющий обязанности  главы</w:t>
      </w:r>
    </w:p>
    <w:p w:rsidR="00393F2B" w:rsidRPr="002F7EB8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B8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393F2B" w:rsidRPr="002F7EB8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3F2B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Кутыркин</w:t>
      </w:r>
      <w:proofErr w:type="spellEnd"/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О.А. Андреев</w:t>
      </w:r>
    </w:p>
    <w:p w:rsidR="00393F2B" w:rsidRDefault="00393F2B" w:rsidP="00393F2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FB2" w:rsidRDefault="000C5FB2"/>
    <w:sectPr w:rsidR="000C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93F2B"/>
    <w:rsid w:val="000C5FB2"/>
    <w:rsid w:val="003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93F2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93F2B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2023-12-13T09:02:00Z</dcterms:created>
  <dcterms:modified xsi:type="dcterms:W3CDTF">2023-12-13T09:03:00Z</dcterms:modified>
</cp:coreProperties>
</file>