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1" w:rsidRPr="00FD71E0" w:rsidRDefault="006C34E1" w:rsidP="006C3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1E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D87B8E" wp14:editId="7808ED32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36" name="Рисунок 3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E1" w:rsidRPr="00FD71E0" w:rsidRDefault="006C34E1" w:rsidP="006C34E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34E1" w:rsidRPr="00FD71E0" w:rsidRDefault="006C34E1" w:rsidP="006C34E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34E1" w:rsidRPr="00FD71E0" w:rsidRDefault="006C34E1" w:rsidP="006C34E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6C34E1" w:rsidRPr="00FD71E0" w:rsidRDefault="006C34E1" w:rsidP="006C34E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6C34E1" w:rsidRPr="00FD71E0" w:rsidRDefault="006C34E1" w:rsidP="006C34E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4E1" w:rsidRPr="00FD71E0" w:rsidRDefault="006C34E1" w:rsidP="006C3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1E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6C34E1" w:rsidRPr="00FD71E0" w:rsidRDefault="006C34E1" w:rsidP="006C3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1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99E0473" wp14:editId="6E1DA12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Ph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2X&#10;o+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D71E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1BBDB77" wp14:editId="1EDF219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6C34E1" w:rsidRPr="00FD71E0" w:rsidRDefault="006C34E1" w:rsidP="006C34E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C34E1" w:rsidRPr="00FD71E0" w:rsidRDefault="006C34E1" w:rsidP="006C34E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1E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D71E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C34E1" w:rsidRPr="00FD71E0" w:rsidRDefault="006C34E1" w:rsidP="006C34E1">
      <w:pPr>
        <w:spacing w:after="0" w:line="240" w:lineRule="auto"/>
        <w:rPr>
          <w:rFonts w:ascii="Times New Roman" w:hAnsi="Times New Roman" w:cs="Times New Roman"/>
        </w:rPr>
      </w:pPr>
    </w:p>
    <w:p w:rsidR="006C34E1" w:rsidRPr="00FD71E0" w:rsidRDefault="006C34E1" w:rsidP="006C34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D71E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</w:rPr>
        <w:t>2022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18/305</w:t>
      </w:r>
      <w:r w:rsidRPr="00FD71E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C34E1" w:rsidRDefault="006C34E1" w:rsidP="006C34E1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4E1" w:rsidRDefault="006C34E1" w:rsidP="006C34E1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бюджетам </w:t>
      </w:r>
      <w:proofErr w:type="gramStart"/>
      <w:r w:rsidRPr="00BC120E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поселений Урюпинского муниципального района иных межбюджетных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 xml:space="preserve">трансфертов на содержание объектов благоустройства 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C34E1" w:rsidRPr="00BC120E" w:rsidRDefault="006C34E1" w:rsidP="006C34E1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Рассмотрев обращение главы Урюпинского муниципального района об утверждении Порядка предоставления бюджетам сельских поселений Урюпинского муниципального района иных межбюджетных трансфертов на содержание объектов б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лагоустройства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, на основании статей 9, 142.4 Бюджетного кодекса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Российской Федерации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статьи 16.1 Закона Волгоградской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26 июля 2005 года № 1093-ОД «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О межбюджетных отн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ошениях в Волгоградской области»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, в целях предоставления иных межбюджетных трансфертов на содержание объектов благоустройства</w:t>
      </w:r>
      <w:proofErr w:type="gramStart"/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Урюпинская районная Дума </w:t>
      </w:r>
      <w:r w:rsidRPr="00BC1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C120E">
        <w:rPr>
          <w:rFonts w:ascii="Times New Roman" w:hAnsi="Times New Roman" w:cs="Times New Roman"/>
          <w:sz w:val="28"/>
          <w:szCs w:val="28"/>
        </w:rPr>
        <w:t>Утвердить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 (прилагается).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C120E">
        <w:rPr>
          <w:rFonts w:ascii="Times New Roman" w:hAnsi="Times New Roman" w:cs="Times New Roman"/>
          <w:sz w:val="28"/>
          <w:szCs w:val="28"/>
        </w:rPr>
        <w:t>Направить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 главе Урюпинского муниципального района для подписания и опубликования в установленном порядке.</w:t>
      </w:r>
    </w:p>
    <w:p w:rsidR="006C34E1" w:rsidRDefault="006C34E1" w:rsidP="006C34E1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C120E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BC120E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6C34E1" w:rsidRDefault="006C34E1" w:rsidP="006C34E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C120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C120E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BC120E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6C34E1" w:rsidRDefault="006C34E1" w:rsidP="006C34E1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4E1" w:rsidRPr="000B2F90" w:rsidRDefault="006C34E1" w:rsidP="006C34E1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34E1" w:rsidRDefault="006C34E1" w:rsidP="006C34E1">
      <w:pPr>
        <w:rPr>
          <w:rFonts w:ascii="Times New Roman" w:hAnsi="Times New Roman" w:cs="Times New Roman"/>
          <w:b/>
          <w:sz w:val="27"/>
          <w:szCs w:val="27"/>
        </w:rPr>
      </w:pPr>
    </w:p>
    <w:p w:rsidR="006C34E1" w:rsidRDefault="006C34E1" w:rsidP="006C34E1">
      <w:pPr>
        <w:rPr>
          <w:rFonts w:ascii="Times New Roman" w:hAnsi="Times New Roman" w:cs="Times New Roman"/>
          <w:b/>
          <w:sz w:val="27"/>
          <w:szCs w:val="27"/>
        </w:rPr>
      </w:pPr>
    </w:p>
    <w:p w:rsidR="006C34E1" w:rsidRDefault="006C34E1" w:rsidP="006C34E1">
      <w:pPr>
        <w:rPr>
          <w:rFonts w:ascii="Times New Roman" w:hAnsi="Times New Roman" w:cs="Times New Roman"/>
          <w:b/>
          <w:sz w:val="27"/>
          <w:szCs w:val="27"/>
        </w:rPr>
      </w:pP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4814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20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C120E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4814">
        <w:rPr>
          <w:rFonts w:ascii="Times New Roman" w:hAnsi="Times New Roman" w:cs="Times New Roman"/>
          <w:sz w:val="24"/>
          <w:szCs w:val="24"/>
        </w:rPr>
        <w:t xml:space="preserve">      </w:t>
      </w:r>
      <w:r w:rsidRPr="00BC120E">
        <w:rPr>
          <w:rFonts w:ascii="Times New Roman" w:hAnsi="Times New Roman" w:cs="Times New Roman"/>
          <w:sz w:val="24"/>
          <w:szCs w:val="24"/>
        </w:rPr>
        <w:t xml:space="preserve">Урюпинской районной Думы  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30 марта </w:t>
      </w:r>
      <w:r w:rsidRPr="00BC120E">
        <w:rPr>
          <w:rFonts w:ascii="Times New Roman" w:hAnsi="Times New Roman" w:cs="Times New Roman"/>
          <w:sz w:val="24"/>
          <w:szCs w:val="24"/>
        </w:rPr>
        <w:t>2022 года №</w:t>
      </w:r>
      <w:r>
        <w:rPr>
          <w:rFonts w:ascii="Times New Roman" w:hAnsi="Times New Roman" w:cs="Times New Roman"/>
          <w:sz w:val="24"/>
          <w:szCs w:val="24"/>
        </w:rPr>
        <w:t xml:space="preserve"> 18/305</w:t>
      </w:r>
      <w:r w:rsidRPr="00BC1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6C34E1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бюджетам сельских поселений Урюпинского муниципального района иных межбюджетных трансфертов 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на содержание объектов благоустройства </w:t>
      </w:r>
    </w:p>
    <w:p w:rsidR="006C34E1" w:rsidRPr="00BC120E" w:rsidRDefault="006C34E1" w:rsidP="006C34E1">
      <w:pPr>
        <w:tabs>
          <w:tab w:val="left" w:pos="504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34E1" w:rsidRPr="00BC120E" w:rsidRDefault="006C34E1" w:rsidP="006C34E1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C120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C34E1" w:rsidRPr="00BC120E" w:rsidRDefault="006C34E1" w:rsidP="006C34E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Настоящий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 (далее - Порядок) разработан в соответствии со статьями 9, 142.4 Бюджетного кодекса Российской Федерации, статьей 16.1 Закона Волгоградской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26 июля 2005 года № 1093-ОД «</w:t>
      </w:r>
      <w:r w:rsidRPr="00BC120E">
        <w:rPr>
          <w:rFonts w:ascii="Times New Roman" w:hAnsi="Times New Roman" w:cs="Times New Roman"/>
          <w:bCs/>
          <w:sz w:val="28"/>
          <w:szCs w:val="28"/>
        </w:rPr>
        <w:t>О межбюджетных отн</w:t>
      </w:r>
      <w:r>
        <w:rPr>
          <w:rFonts w:ascii="Times New Roman" w:hAnsi="Times New Roman" w:cs="Times New Roman"/>
          <w:bCs/>
          <w:sz w:val="28"/>
          <w:szCs w:val="28"/>
        </w:rPr>
        <w:t>ошениях в Волгоградской области»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и определяет цели, условия и порядок предоставления бюджетам сельских поселений Урюпинского муниципального района иных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межбюджетных трансфертов на содержание объектов благоустройства (далее - иные межбюджетные трансферты).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 </w:t>
      </w:r>
      <w:r w:rsidRPr="00BC120E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Порядком, бюджетам сельских поселений Урюпинского муниципального района предоставляются иные межбюджетные трансферты на содержание объектов благоустройства, в том числе: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BC120E">
        <w:rPr>
          <w:rFonts w:ascii="Times New Roman" w:hAnsi="Times New Roman" w:cs="Times New Roman"/>
          <w:bCs/>
          <w:sz w:val="28"/>
          <w:szCs w:val="28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1.2.2.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1.2.3.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травмобезопасного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покрытия, замена элементов садово-паркового оборудования);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1.2.4. </w:t>
      </w:r>
      <w:r w:rsidRPr="00BC120E">
        <w:rPr>
          <w:rFonts w:ascii="Times New Roman" w:hAnsi="Times New Roman" w:cs="Times New Roman"/>
          <w:bCs/>
          <w:sz w:val="28"/>
          <w:szCs w:val="28"/>
        </w:rPr>
        <w:t>текущий ремонт и уход за ограждениями, включая парапеты (парковые зоны, спортивные и детские площадки);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1.2.5. </w:t>
      </w:r>
      <w:r w:rsidRPr="00BC120E">
        <w:rPr>
          <w:rFonts w:ascii="Times New Roman" w:hAnsi="Times New Roman" w:cs="Times New Roman"/>
          <w:bCs/>
          <w:sz w:val="28"/>
          <w:szCs w:val="28"/>
        </w:rPr>
        <w:t>содержание и ремонт систем видеонаблюдения и наружного освещения;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1.2.6. </w:t>
      </w:r>
      <w:r w:rsidRPr="00BC120E">
        <w:rPr>
          <w:rFonts w:ascii="Times New Roman" w:hAnsi="Times New Roman" w:cs="Times New Roman"/>
          <w:bCs/>
          <w:sz w:val="28"/>
          <w:szCs w:val="28"/>
        </w:rPr>
        <w:t>содержание и ремонт световых фигур и элементов вечерней уличной иллюминации;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1.2.7. </w:t>
      </w:r>
      <w:r w:rsidRPr="00BC120E">
        <w:rPr>
          <w:rFonts w:ascii="Times New Roman" w:hAnsi="Times New Roman" w:cs="Times New Roman"/>
          <w:bCs/>
          <w:sz w:val="28"/>
          <w:szCs w:val="28"/>
        </w:rPr>
        <w:t>озеленение (в том числе приобретение сеянцев и саженцев, удобрений);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1.2.8. </w:t>
      </w:r>
      <w:r w:rsidRPr="00BC120E">
        <w:rPr>
          <w:rFonts w:ascii="Times New Roman" w:hAnsi="Times New Roman" w:cs="Times New Roman"/>
          <w:bCs/>
          <w:sz w:val="28"/>
          <w:szCs w:val="28"/>
        </w:rPr>
        <w:t>содержание и ремонт фонтанов.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1.3. </w:t>
      </w:r>
      <w:r w:rsidRPr="00BC120E">
        <w:rPr>
          <w:rFonts w:ascii="Times New Roman" w:hAnsi="Times New Roman" w:cs="Times New Roman"/>
          <w:bCs/>
          <w:sz w:val="28"/>
          <w:szCs w:val="28"/>
        </w:rPr>
        <w:t>Предоставление иных межбюджетных трансфертов осуществляется в пределах средств,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 в рамках реализации мероприятий соответствующей муниципальной программы.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1.4. </w:t>
      </w:r>
      <w:r w:rsidRPr="00BC120E">
        <w:rPr>
          <w:rFonts w:ascii="Times New Roman" w:hAnsi="Times New Roman" w:cs="Times New Roman"/>
          <w:bCs/>
          <w:sz w:val="28"/>
          <w:szCs w:val="28"/>
        </w:rPr>
        <w:t>Распределение иных 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постановлением администрации Урюпинского муниципального района.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1.5. </w:t>
      </w:r>
      <w:r w:rsidRPr="00BC120E">
        <w:rPr>
          <w:rFonts w:ascii="Times New Roman" w:hAnsi="Times New Roman" w:cs="Times New Roman"/>
          <w:bCs/>
          <w:sz w:val="28"/>
          <w:szCs w:val="28"/>
        </w:rPr>
        <w:t>Иные межбюджетные трансферты имеют целевое назначение и не могут быть использованы органом местного самоуправления сельского поселения на иные цели. В случае использования иных межбюджетных трансфертов не по целевому назначению указанные средства взыскиваются в бюджет Урюпинского муниципального района в порядке, установленном законодательством Российской Федерации.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1.6.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иных межбюджетных трансфертов осуществляют органы финансового контроля в соответствии с действующим законодательством.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34E1" w:rsidRDefault="006C34E1" w:rsidP="006C34E1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Критерии отбора муниципальных образований </w:t>
      </w:r>
    </w:p>
    <w:p w:rsidR="006C34E1" w:rsidRPr="00BC120E" w:rsidRDefault="006C34E1" w:rsidP="006C34E1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120E">
        <w:rPr>
          <w:rFonts w:ascii="Times New Roman" w:hAnsi="Times New Roman" w:cs="Times New Roman"/>
          <w:bCs/>
          <w:sz w:val="28"/>
          <w:szCs w:val="28"/>
        </w:rPr>
        <w:t>и условия предоставления иных межбюджетных трансфертов</w:t>
      </w:r>
    </w:p>
    <w:p w:rsidR="006C34E1" w:rsidRPr="00BC120E" w:rsidRDefault="006C34E1" w:rsidP="006C34E1">
      <w:pPr>
        <w:pStyle w:val="Con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2.1.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Право на получение в текущем финансовом году иных межбюджетных трансфертов, указанных в пункте 1.2 настоящего Порядка имеют муниципальные образования, входящие в состав Урюпинского муниципального района - получатели (в период с 2017 по 2021 годы) средств субсидии из областного бюджета в целях 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формирования современной городской среды.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2.2.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Размер иного межбюджетного трансферта, который необходимо предоставить бюджету сельского поселения на выполнение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мероприятий, предусмотренных пунктом 1.2 настоящего Порядка рассчитывается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по формуле: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4E1" w:rsidRPr="00BC120E" w:rsidRDefault="006C34E1" w:rsidP="006C34E1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 = N * k </w:t>
      </w:r>
      <w:r w:rsidRPr="00BC120E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6C34E1" w:rsidRPr="00BC120E" w:rsidRDefault="006C34E1" w:rsidP="006C34E1">
      <w:pPr>
        <w:pStyle w:val="Con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размер иного межбюджетного трансферта, который необходимо предоставить бюджету i-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выполнение мероприятий, предусмотренных пунктом 1.2 настоящего Порядка;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C120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норматив затрат на содержание объекта благоустройства, определяемый из расчета 201 595,56 рублей в расчете на один объект;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BC120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количество объектов благоустройства, созданных в период с 2017 по 2020 годы за счет средств субсидии из областного бюджета в целях 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формирования современной городской среды и собственных средств бюджета сельского поселения.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2.3. </w:t>
      </w:r>
      <w:r w:rsidRPr="00BC120E">
        <w:rPr>
          <w:rFonts w:ascii="Times New Roman" w:hAnsi="Times New Roman" w:cs="Times New Roman"/>
          <w:bCs/>
          <w:sz w:val="28"/>
          <w:szCs w:val="28"/>
        </w:rPr>
        <w:t>Предоставление межбюджетных трансфертов осуществляется при  обеспечении сельским поселением, получающем иной межбюджетный трансферт, следующих условий: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2.3.1. </w:t>
      </w:r>
      <w:r w:rsidRPr="00BC120E">
        <w:rPr>
          <w:rFonts w:ascii="Times New Roman" w:hAnsi="Times New Roman" w:cs="Times New Roman"/>
          <w:bCs/>
          <w:sz w:val="28"/>
          <w:szCs w:val="28"/>
        </w:rPr>
        <w:t>обязательство сельского поселения по достижению значений результатов использования иного межбюджетного трансферта;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2.3.2. </w:t>
      </w:r>
      <w:r w:rsidRPr="00BC120E">
        <w:rPr>
          <w:rFonts w:ascii="Times New Roman" w:hAnsi="Times New Roman" w:cs="Times New Roman"/>
          <w:bCs/>
          <w:sz w:val="28"/>
          <w:szCs w:val="28"/>
        </w:rPr>
        <w:t>обязательство сельского поселения по представлению отчетов о достижении значений результатов использования иного межбюджетного трансферта, о расходовании иного межбюджетного трансферта.</w:t>
      </w:r>
    </w:p>
    <w:p w:rsidR="006C34E1" w:rsidRPr="00BC120E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6C34E1" w:rsidRPr="00F83D6D" w:rsidRDefault="006C34E1" w:rsidP="006C34E1">
      <w:pPr>
        <w:pStyle w:val="Con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83D6D">
        <w:rPr>
          <w:rFonts w:ascii="Times New Roman" w:hAnsi="Times New Roman" w:cs="Times New Roman"/>
          <w:bCs/>
          <w:sz w:val="28"/>
          <w:szCs w:val="28"/>
        </w:rPr>
        <w:t>Порядок предоставления иных межбюджетных трансфертов</w:t>
      </w:r>
    </w:p>
    <w:p w:rsidR="006C34E1" w:rsidRPr="00F83D6D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иных межбюджетных трансфертов осуществляется на основании постановления администрации Урюпинского муниципального района, а также </w:t>
      </w:r>
      <w:hyperlink r:id="rId6" w:history="1">
        <w:r w:rsidRPr="00BC120E">
          <w:rPr>
            <w:rFonts w:ascii="Times New Roman" w:hAnsi="Times New Roman" w:cs="Times New Roman"/>
            <w:bCs/>
            <w:sz w:val="28"/>
            <w:szCs w:val="28"/>
          </w:rPr>
          <w:t>соглашения</w:t>
        </w:r>
      </w:hyperlink>
      <w:r w:rsidRPr="00BC120E">
        <w:rPr>
          <w:rFonts w:ascii="Times New Roman" w:hAnsi="Times New Roman" w:cs="Times New Roman"/>
          <w:bCs/>
          <w:sz w:val="28"/>
          <w:szCs w:val="28"/>
        </w:rPr>
        <w:t>, заключенного между администрацией Урюпинского муниципального района и администрацией сельского поселения, получающей иной межбюджетный трансферт в соответствии с Типовой формой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соглашения</w:t>
      </w:r>
      <w:r w:rsidRPr="00BC120E">
        <w:rPr>
          <w:rFonts w:ascii="Times New Roman" w:hAnsi="Times New Roman" w:cs="Times New Roman"/>
          <w:bCs/>
          <w:sz w:val="28"/>
          <w:szCs w:val="28"/>
        </w:rPr>
        <w:t>, утвержденной решением Урюпинской районной Думы, в котором прописываются следующие основные положения: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3.2. </w:t>
      </w:r>
      <w:r w:rsidRPr="00BC120E">
        <w:rPr>
          <w:rFonts w:ascii="Times New Roman" w:hAnsi="Times New Roman" w:cs="Times New Roman"/>
          <w:bCs/>
          <w:sz w:val="28"/>
          <w:szCs w:val="28"/>
        </w:rPr>
        <w:t>целевое назначение иного межбюджетного трансферта;</w:t>
      </w:r>
      <w:r w:rsidRPr="00BC120E">
        <w:rPr>
          <w:rFonts w:ascii="Times New Roman" w:hAnsi="Times New Roman" w:cs="Times New Roman"/>
          <w:bCs/>
          <w:sz w:val="28"/>
          <w:szCs w:val="28"/>
        </w:rPr>
        <w:tab/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3.3. </w:t>
      </w:r>
      <w:r w:rsidRPr="00BC120E">
        <w:rPr>
          <w:rFonts w:ascii="Times New Roman" w:hAnsi="Times New Roman" w:cs="Times New Roman"/>
          <w:bCs/>
          <w:sz w:val="28"/>
          <w:szCs w:val="28"/>
        </w:rPr>
        <w:t>условия предоставления и расходования иного межбюджетного трансферта;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3.4. </w:t>
      </w:r>
      <w:r w:rsidRPr="00BC120E">
        <w:rPr>
          <w:rFonts w:ascii="Times New Roman" w:hAnsi="Times New Roman" w:cs="Times New Roman"/>
          <w:bCs/>
          <w:sz w:val="28"/>
          <w:szCs w:val="28"/>
        </w:rPr>
        <w:t>объем бюджетных ассигнований, предусмотренных на предоставление иного межбюджетного трансферта;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3.5. </w:t>
      </w:r>
      <w:r w:rsidRPr="00BC120E">
        <w:rPr>
          <w:rFonts w:ascii="Times New Roman" w:hAnsi="Times New Roman" w:cs="Times New Roman"/>
          <w:bCs/>
          <w:sz w:val="28"/>
          <w:szCs w:val="28"/>
        </w:rPr>
        <w:t>порядок перечисления иного межбюджетного трансферта;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3.6. </w:t>
      </w:r>
      <w:r w:rsidRPr="00BC120E">
        <w:rPr>
          <w:rFonts w:ascii="Times New Roman" w:hAnsi="Times New Roman" w:cs="Times New Roman"/>
          <w:bCs/>
          <w:sz w:val="28"/>
          <w:szCs w:val="28"/>
        </w:rPr>
        <w:t>сроки действия соглашения;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3.7.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установленных для предоставления и расходования иного межбюджетного трансферта;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3.8. </w:t>
      </w:r>
      <w:r w:rsidRPr="00BC120E">
        <w:rPr>
          <w:rFonts w:ascii="Times New Roman" w:hAnsi="Times New Roman" w:cs="Times New Roman"/>
          <w:bCs/>
          <w:sz w:val="28"/>
          <w:szCs w:val="28"/>
        </w:rPr>
        <w:t>сроки и порядок представления отчетности об использовании иного межбюджетного трансферта;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3.9.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порядок использования остатка иного межбюджетного трансферта, не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использованных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в текущем финансовом году.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3.10. </w:t>
      </w:r>
      <w:r w:rsidRPr="00BC120E">
        <w:rPr>
          <w:rFonts w:ascii="Times New Roman" w:hAnsi="Times New Roman" w:cs="Times New Roman"/>
          <w:bCs/>
          <w:sz w:val="28"/>
          <w:szCs w:val="28"/>
        </w:rPr>
        <w:t>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3.11. </w:t>
      </w:r>
      <w:r w:rsidRPr="00BC120E">
        <w:rPr>
          <w:rFonts w:ascii="Times New Roman" w:hAnsi="Times New Roman" w:cs="Times New Roman"/>
          <w:bCs/>
          <w:sz w:val="28"/>
          <w:szCs w:val="28"/>
        </w:rPr>
        <w:t>Иные межбюджетные трансферты 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3.12. </w:t>
      </w:r>
      <w:r w:rsidRPr="00BC120E">
        <w:rPr>
          <w:rFonts w:ascii="Times New Roman" w:hAnsi="Times New Roman" w:cs="Times New Roman"/>
          <w:bCs/>
          <w:sz w:val="28"/>
          <w:szCs w:val="28"/>
        </w:rPr>
        <w:t>Получатели иных межбюджетных трансфертов представляют в администрацию Урюпинского муниципального района отчетность об использовании иных межбюджетных трансфертов в порядке и сроки, установленные соглашением о предоставлении иных межбюджетных трансфертов.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3.13. </w:t>
      </w:r>
      <w:r w:rsidRPr="00BC120E">
        <w:rPr>
          <w:rFonts w:ascii="Times New Roman" w:hAnsi="Times New Roman" w:cs="Times New Roman"/>
          <w:bCs/>
          <w:sz w:val="28"/>
          <w:szCs w:val="28"/>
        </w:rPr>
        <w:t>Администрация Урюпинского муниципального района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иных межбюджетных трансфертов в случае нецелевого использования иных межбюджетных трансфертов.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3.14.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трансферты, не использованные в текущем финансовом году, подлежат возврату в бюджет муниципального района или использованию в очередном финансовом году на цели, указанные в соглашении, при наличии потребности в указанных трансфертах в соответствии с Бюджетным </w:t>
      </w:r>
      <w:hyperlink r:id="rId7" w:history="1">
        <w:r w:rsidRPr="00BC120E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6C34E1" w:rsidRPr="00BC120E" w:rsidRDefault="006C34E1" w:rsidP="006C34E1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3.15. </w:t>
      </w:r>
      <w:r w:rsidRPr="00BC120E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сельских поселений, получивших иные межбюджетные трансферты, несут ответственность за целевое использование иных межбюджетных трансфертов и достоверность сведений, содержащихся в документах, представляемых в соответствии с настоящим Порядком и заключенными соглашениями, в соответствии с законодательством Российской Федерации.</w:t>
      </w:r>
    </w:p>
    <w:p w:rsidR="006C34E1" w:rsidRPr="00BC120E" w:rsidRDefault="006C34E1" w:rsidP="006C3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4E1" w:rsidRDefault="006C34E1" w:rsidP="006C34E1">
      <w:pPr>
        <w:pStyle w:val="Con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25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Вступление в силу настоящего Порядка</w:t>
      </w:r>
    </w:p>
    <w:p w:rsidR="006C34E1" w:rsidRPr="008A4F0E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C34E1" w:rsidRPr="008F41BA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41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Настоящий Порядок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C34E1" w:rsidRPr="005124EF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34E1" w:rsidRPr="005124EF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</w:t>
      </w:r>
      <w:r w:rsidRPr="00512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</w:t>
      </w: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2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Урюпинского муниципального района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5124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А.Ю. Максимов</w:t>
      </w: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34E1" w:rsidRDefault="006C34E1" w:rsidP="006C34E1">
      <w:pPr>
        <w:pStyle w:val="ConsNormal"/>
        <w:ind w:firstLine="0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3"/>
    <w:rsid w:val="00525095"/>
    <w:rsid w:val="006C34E1"/>
    <w:rsid w:val="00774814"/>
    <w:rsid w:val="008F7C33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E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C34E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C34E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6C3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E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C34E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C34E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6C34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F45B46C19255C7D568938569BA6B4BD29CBB3DEABD24BB3F1338F158D35B0ACA7E6336FAE26CE2B5385C838ET9p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45B46C19255C7D5688D887FD6344ED696E431EFBF26E461473EA607835D5F983E3D6FB8A57FE3B6265E87859F92BF49655808A8C9900B3FDD20DETEp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9317</Characters>
  <Application>Microsoft Office Word</Application>
  <DocSecurity>0</DocSecurity>
  <Lines>77</Lines>
  <Paragraphs>21</Paragraphs>
  <ScaleCrop>false</ScaleCrop>
  <Company>Урюпинскуая районная Дума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2022-03-30T11:06:00Z</dcterms:created>
  <dcterms:modified xsi:type="dcterms:W3CDTF">2022-03-31T05:23:00Z</dcterms:modified>
</cp:coreProperties>
</file>